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B856" w14:textId="41E91E0D" w:rsidR="00EE1D7D" w:rsidRPr="00D52080" w:rsidRDefault="00000000" w:rsidP="00D52080">
      <w:pPr>
        <w:rPr>
          <w:rFonts w:ascii="Arial" w:hAnsi="Arial" w:cs="Arial"/>
          <w:b/>
          <w:bCs/>
          <w:sz w:val="22"/>
          <w:szCs w:val="22"/>
        </w:rPr>
      </w:pPr>
      <w:r w:rsidRPr="00D52080">
        <w:rPr>
          <w:rFonts w:ascii="Arial" w:hAnsi="Arial" w:cs="Arial"/>
          <w:b/>
          <w:bCs/>
          <w:sz w:val="22"/>
          <w:szCs w:val="22"/>
        </w:rPr>
        <w:t>CORFA Meeting</w:t>
      </w:r>
      <w:r w:rsidR="00D52080" w:rsidRPr="00D52080">
        <w:rPr>
          <w:rFonts w:ascii="Arial" w:hAnsi="Arial" w:cs="Arial"/>
          <w:b/>
          <w:bCs/>
          <w:sz w:val="22"/>
          <w:szCs w:val="22"/>
        </w:rPr>
        <w:t xml:space="preserve"> </w:t>
      </w:r>
      <w:r w:rsidRPr="00D52080">
        <w:rPr>
          <w:rFonts w:ascii="Arial" w:hAnsi="Arial" w:cs="Arial"/>
          <w:b/>
          <w:bCs/>
          <w:sz w:val="22"/>
          <w:szCs w:val="22"/>
        </w:rPr>
        <w:t>Zoom Chat: Q</w:t>
      </w:r>
      <w:r w:rsidR="00D52080" w:rsidRPr="00D52080">
        <w:rPr>
          <w:rFonts w:ascii="Arial" w:hAnsi="Arial" w:cs="Arial"/>
          <w:b/>
          <w:bCs/>
          <w:sz w:val="22"/>
          <w:szCs w:val="22"/>
        </w:rPr>
        <w:t>&amp;A</w:t>
      </w:r>
    </w:p>
    <w:p w14:paraId="5FF324BB" w14:textId="77777777" w:rsidR="00D52080" w:rsidRPr="00D52080" w:rsidRDefault="00D52080">
      <w:pPr>
        <w:pStyle w:val="Heading1"/>
        <w:rPr>
          <w:rFonts w:ascii="Arial" w:hAnsi="Arial" w:cs="Arial"/>
          <w:sz w:val="22"/>
          <w:szCs w:val="22"/>
        </w:rPr>
      </w:pPr>
    </w:p>
    <w:p w14:paraId="07FC9BC1" w14:textId="77777777" w:rsidR="00EE1D7D" w:rsidRPr="00D52080" w:rsidRDefault="00000000">
      <w:pPr>
        <w:spacing w:after="100"/>
        <w:rPr>
          <w:rFonts w:ascii="Arial" w:hAnsi="Arial" w:cs="Arial"/>
          <w:sz w:val="22"/>
          <w:szCs w:val="22"/>
        </w:rPr>
      </w:pPr>
      <w:r w:rsidRPr="00D52080">
        <w:rPr>
          <w:rFonts w:ascii="Arial" w:hAnsi="Arial" w:cs="Arial"/>
          <w:sz w:val="22"/>
          <w:szCs w:val="22"/>
        </w:rPr>
        <w:t>July 7, 2026</w:t>
      </w:r>
    </w:p>
    <w:p w14:paraId="00EFECCB" w14:textId="541D52DA" w:rsidR="00EE1D7D" w:rsidRPr="007D52A3" w:rsidRDefault="00000000">
      <w:pPr>
        <w:spacing w:after="300"/>
        <w:rPr>
          <w:rFonts w:ascii="Arial" w:hAnsi="Arial" w:cs="Arial"/>
          <w:color w:val="215E99" w:themeColor="text2" w:themeTint="BF"/>
          <w:sz w:val="22"/>
          <w:szCs w:val="22"/>
        </w:rPr>
      </w:pPr>
      <w:r w:rsidRPr="007D52A3">
        <w:rPr>
          <w:rFonts w:ascii="Arial" w:hAnsi="Arial" w:cs="Arial"/>
          <w:i/>
          <w:iCs/>
          <w:color w:val="215E99" w:themeColor="text2" w:themeTint="BF"/>
          <w:sz w:val="22"/>
          <w:szCs w:val="22"/>
        </w:rPr>
        <w:t>Blue text below a comment indicates follow-up information</w:t>
      </w:r>
      <w:r w:rsidR="00F603CC">
        <w:rPr>
          <w:rFonts w:ascii="Arial" w:hAnsi="Arial" w:cs="Arial"/>
          <w:i/>
          <w:iCs/>
          <w:color w:val="215E99" w:themeColor="text2" w:themeTint="BF"/>
          <w:sz w:val="22"/>
          <w:szCs w:val="22"/>
        </w:rPr>
        <w:t xml:space="preserve">. </w:t>
      </w:r>
      <w:r w:rsidRPr="007D52A3">
        <w:rPr>
          <w:rFonts w:ascii="Arial" w:hAnsi="Arial" w:cs="Arial"/>
          <w:i/>
          <w:iCs/>
          <w:color w:val="215E99" w:themeColor="text2" w:themeTint="BF"/>
          <w:sz w:val="22"/>
          <w:szCs w:val="22"/>
        </w:rPr>
        <w:t>This context reflects a proposed rule that was not final as of this writing; verify current status before relying on it.</w:t>
      </w:r>
    </w:p>
    <w:p w14:paraId="0F5BEBA2" w14:textId="77777777" w:rsidR="00EE1D7D" w:rsidRPr="00D52080" w:rsidRDefault="00000000">
      <w:pPr>
        <w:spacing w:after="80"/>
        <w:rPr>
          <w:rFonts w:ascii="Arial" w:hAnsi="Arial" w:cs="Arial"/>
          <w:sz w:val="22"/>
          <w:szCs w:val="22"/>
        </w:rPr>
      </w:pPr>
      <w:r w:rsidRPr="00D52080">
        <w:rPr>
          <w:rFonts w:ascii="Arial" w:hAnsi="Arial" w:cs="Arial"/>
          <w:b/>
          <w:bCs/>
          <w:sz w:val="22"/>
          <w:szCs w:val="22"/>
        </w:rPr>
        <w:t xml:space="preserve">Zoe Jorgensen: </w:t>
      </w:r>
      <w:r w:rsidRPr="00D52080">
        <w:rPr>
          <w:rFonts w:ascii="Arial" w:hAnsi="Arial" w:cs="Arial"/>
          <w:sz w:val="22"/>
          <w:szCs w:val="22"/>
        </w:rPr>
        <w:t>What is DEI???</w:t>
      </w:r>
    </w:p>
    <w:p w14:paraId="546B6F0F" w14:textId="2B7AFBC2" w:rsidR="00EE1D7D" w:rsidRPr="007D52A3" w:rsidRDefault="00000000">
      <w:pPr>
        <w:spacing w:after="200"/>
        <w:ind w:left="360"/>
        <w:rPr>
          <w:rFonts w:ascii="Arial" w:hAnsi="Arial" w:cs="Arial"/>
          <w:color w:val="215E99" w:themeColor="text2" w:themeTint="BF"/>
          <w:sz w:val="22"/>
          <w:szCs w:val="22"/>
        </w:rPr>
      </w:pPr>
      <w:r w:rsidRPr="007D52A3">
        <w:rPr>
          <w:rFonts w:ascii="Arial" w:hAnsi="Arial" w:cs="Arial"/>
          <w:b/>
          <w:bCs/>
          <w:color w:val="215E99" w:themeColor="text2" w:themeTint="BF"/>
          <w:sz w:val="22"/>
          <w:szCs w:val="22"/>
        </w:rPr>
        <w:t xml:space="preserve">Answer: </w:t>
      </w:r>
      <w:r w:rsidRPr="007D52A3">
        <w:rPr>
          <w:rFonts w:ascii="Arial" w:hAnsi="Arial" w:cs="Arial"/>
          <w:color w:val="215E99" w:themeColor="text2" w:themeTint="BF"/>
          <w:sz w:val="22"/>
          <w:szCs w:val="22"/>
        </w:rPr>
        <w:t xml:space="preserve">DEI stands for Diversity, Equity, and Inclusion. Under OMB's proposed rule published May 29, 2026, federal awards could not be used to "fund, promote, encourage, subsidize, or facilitate" DEI policies the administration considers discriminatory. This is a proposed rule, not yet final. </w:t>
      </w:r>
    </w:p>
    <w:p w14:paraId="21121DAE" w14:textId="77777777" w:rsidR="00EE1D7D" w:rsidRPr="00D52080" w:rsidRDefault="00000000">
      <w:pPr>
        <w:spacing w:after="80"/>
        <w:rPr>
          <w:rFonts w:ascii="Arial" w:hAnsi="Arial" w:cs="Arial"/>
          <w:sz w:val="22"/>
          <w:szCs w:val="22"/>
        </w:rPr>
      </w:pPr>
      <w:r w:rsidRPr="00D52080">
        <w:rPr>
          <w:rFonts w:ascii="Arial" w:hAnsi="Arial" w:cs="Arial"/>
          <w:b/>
          <w:bCs/>
          <w:sz w:val="22"/>
          <w:szCs w:val="22"/>
        </w:rPr>
        <w:t xml:space="preserve">Willem Stoeller: </w:t>
      </w:r>
      <w:r w:rsidRPr="00D52080">
        <w:rPr>
          <w:rFonts w:ascii="Arial" w:hAnsi="Arial" w:cs="Arial"/>
          <w:sz w:val="22"/>
          <w:szCs w:val="22"/>
        </w:rPr>
        <w:t>Contractors are currently not tracked with E-Verify</w:t>
      </w:r>
    </w:p>
    <w:p w14:paraId="4F0960C5" w14:textId="5DA24518" w:rsidR="00EE1D7D" w:rsidRPr="007D52A3" w:rsidRDefault="00000000">
      <w:pPr>
        <w:spacing w:after="200"/>
        <w:ind w:left="360"/>
        <w:rPr>
          <w:rFonts w:ascii="Arial" w:hAnsi="Arial" w:cs="Arial"/>
          <w:color w:val="215E99" w:themeColor="text2" w:themeTint="BF"/>
          <w:sz w:val="22"/>
          <w:szCs w:val="22"/>
        </w:rPr>
      </w:pPr>
      <w:r w:rsidRPr="007D52A3">
        <w:rPr>
          <w:rFonts w:ascii="Arial" w:hAnsi="Arial" w:cs="Arial"/>
          <w:b/>
          <w:bCs/>
          <w:color w:val="215E99" w:themeColor="text2" w:themeTint="BF"/>
          <w:sz w:val="22"/>
          <w:szCs w:val="22"/>
        </w:rPr>
        <w:t xml:space="preserve">Answer: </w:t>
      </w:r>
      <w:r w:rsidRPr="007D52A3">
        <w:rPr>
          <w:rFonts w:ascii="Arial" w:hAnsi="Arial" w:cs="Arial"/>
          <w:color w:val="215E99" w:themeColor="text2" w:themeTint="BF"/>
          <w:sz w:val="22"/>
          <w:szCs w:val="22"/>
        </w:rPr>
        <w:t xml:space="preserve">Correct as of today. Under OMB's proposed rule (2 CFR 200.303(f)), all recipients and subrecipients of federal financial assistance would be newly required to participate in DHS's E-Verify program to </w:t>
      </w:r>
      <w:r w:rsidRPr="007D52A3">
        <w:rPr>
          <w:rFonts w:ascii="Arial" w:hAnsi="Arial" w:cs="Arial"/>
          <w:b/>
          <w:bCs/>
          <w:color w:val="215E99" w:themeColor="text2" w:themeTint="BF"/>
          <w:sz w:val="22"/>
          <w:szCs w:val="22"/>
        </w:rPr>
        <w:t>confirm the employment eligibility of employees and contractors performing under a federal award</w:t>
      </w:r>
      <w:r w:rsidRPr="007D52A3">
        <w:rPr>
          <w:rFonts w:ascii="Arial" w:hAnsi="Arial" w:cs="Arial"/>
          <w:color w:val="215E99" w:themeColor="text2" w:themeTint="BF"/>
          <w:sz w:val="22"/>
          <w:szCs w:val="22"/>
        </w:rPr>
        <w:t xml:space="preserve">. This has historically applied only to federal contractors under a </w:t>
      </w:r>
      <w:r w:rsidR="0054511F">
        <w:rPr>
          <w:rFonts w:ascii="Arial" w:hAnsi="Arial" w:cs="Arial"/>
          <w:color w:val="215E99" w:themeColor="text2" w:themeTint="BF"/>
          <w:sz w:val="22"/>
          <w:szCs w:val="22"/>
        </w:rPr>
        <w:t>Federal Acquisition Regulation (</w:t>
      </w:r>
      <w:r w:rsidRPr="007D52A3">
        <w:rPr>
          <w:rFonts w:ascii="Arial" w:hAnsi="Arial" w:cs="Arial"/>
          <w:color w:val="215E99" w:themeColor="text2" w:themeTint="BF"/>
          <w:sz w:val="22"/>
          <w:szCs w:val="22"/>
        </w:rPr>
        <w:t>FAR</w:t>
      </w:r>
      <w:r w:rsidR="0054511F">
        <w:rPr>
          <w:rFonts w:ascii="Arial" w:hAnsi="Arial" w:cs="Arial"/>
          <w:color w:val="215E99" w:themeColor="text2" w:themeTint="BF"/>
          <w:sz w:val="22"/>
          <w:szCs w:val="22"/>
        </w:rPr>
        <w:t>)</w:t>
      </w:r>
      <w:r w:rsidRPr="007D52A3">
        <w:rPr>
          <w:rFonts w:ascii="Arial" w:hAnsi="Arial" w:cs="Arial"/>
          <w:color w:val="215E99" w:themeColor="text2" w:themeTint="BF"/>
          <w:sz w:val="22"/>
          <w:szCs w:val="22"/>
        </w:rPr>
        <w:t xml:space="preserve"> clause, not most grant recipients. </w:t>
      </w:r>
    </w:p>
    <w:p w14:paraId="35D24720" w14:textId="77777777" w:rsidR="00EE1D7D" w:rsidRPr="00D52080" w:rsidRDefault="00000000">
      <w:pPr>
        <w:spacing w:after="80"/>
        <w:rPr>
          <w:rFonts w:ascii="Arial" w:hAnsi="Arial" w:cs="Arial"/>
          <w:sz w:val="22"/>
          <w:szCs w:val="22"/>
        </w:rPr>
      </w:pPr>
      <w:r w:rsidRPr="00D52080">
        <w:rPr>
          <w:rFonts w:ascii="Arial" w:hAnsi="Arial" w:cs="Arial"/>
          <w:b/>
          <w:bCs/>
          <w:sz w:val="22"/>
          <w:szCs w:val="22"/>
        </w:rPr>
        <w:t xml:space="preserve">Ann Mayo-Kiely: </w:t>
      </w:r>
      <w:r w:rsidRPr="00D52080">
        <w:rPr>
          <w:rFonts w:ascii="Arial" w:hAnsi="Arial" w:cs="Arial"/>
          <w:sz w:val="22"/>
          <w:szCs w:val="22"/>
        </w:rPr>
        <w:t>All organization employees and all employees of subawardees have to be registered in E-Verify?</w:t>
      </w:r>
    </w:p>
    <w:p w14:paraId="5EFF5D22" w14:textId="501505F6" w:rsidR="00EE1D7D" w:rsidRPr="007D52A3" w:rsidRDefault="00000000">
      <w:pPr>
        <w:spacing w:after="200"/>
        <w:ind w:left="360"/>
        <w:rPr>
          <w:rFonts w:ascii="Arial" w:hAnsi="Arial" w:cs="Arial"/>
          <w:color w:val="215E99" w:themeColor="text2" w:themeTint="BF"/>
          <w:sz w:val="22"/>
          <w:szCs w:val="22"/>
        </w:rPr>
      </w:pPr>
      <w:r w:rsidRPr="007D52A3">
        <w:rPr>
          <w:rFonts w:ascii="Arial" w:hAnsi="Arial" w:cs="Arial"/>
          <w:b/>
          <w:bCs/>
          <w:color w:val="215E99" w:themeColor="text2" w:themeTint="BF"/>
          <w:sz w:val="22"/>
          <w:szCs w:val="22"/>
        </w:rPr>
        <w:t xml:space="preserve">Answer: </w:t>
      </w:r>
      <w:r w:rsidRPr="007D52A3">
        <w:rPr>
          <w:rFonts w:ascii="Arial" w:hAnsi="Arial" w:cs="Arial"/>
          <w:color w:val="215E99" w:themeColor="text2" w:themeTint="BF"/>
          <w:sz w:val="22"/>
          <w:szCs w:val="22"/>
        </w:rPr>
        <w:t xml:space="preserve">As proposed, yes. The rule text applies to "all recipients and subrecipients" of federal financial assistance, which includes subawardees. </w:t>
      </w:r>
      <w:r w:rsidR="00636047" w:rsidRPr="007D52A3">
        <w:rPr>
          <w:rFonts w:ascii="Arial" w:hAnsi="Arial" w:cs="Arial"/>
          <w:color w:val="215E99" w:themeColor="text2" w:themeTint="BF"/>
          <w:sz w:val="22"/>
          <w:szCs w:val="22"/>
        </w:rPr>
        <w:t>However, it is the organization that the employee works for that needs to be registered</w:t>
      </w:r>
      <w:r w:rsidR="0007220F" w:rsidRPr="007D52A3">
        <w:rPr>
          <w:rFonts w:ascii="Arial" w:hAnsi="Arial" w:cs="Arial"/>
          <w:color w:val="215E99" w:themeColor="text2" w:themeTint="BF"/>
          <w:sz w:val="22"/>
          <w:szCs w:val="22"/>
        </w:rPr>
        <w:t xml:space="preserve">, </w:t>
      </w:r>
      <w:r w:rsidR="00192D04" w:rsidRPr="007D52A3">
        <w:rPr>
          <w:rFonts w:ascii="Arial" w:hAnsi="Arial" w:cs="Arial"/>
          <w:color w:val="215E99" w:themeColor="text2" w:themeTint="BF"/>
          <w:sz w:val="22"/>
          <w:szCs w:val="22"/>
        </w:rPr>
        <w:t>which commits them to ensuring all their employees must be eligible to work on a federal grant</w:t>
      </w:r>
      <w:r w:rsidR="0007220F" w:rsidRPr="007D52A3">
        <w:rPr>
          <w:rFonts w:ascii="Arial" w:hAnsi="Arial" w:cs="Arial"/>
          <w:color w:val="215E99" w:themeColor="text2" w:themeTint="BF"/>
          <w:sz w:val="22"/>
          <w:szCs w:val="22"/>
        </w:rPr>
        <w:t>.</w:t>
      </w:r>
    </w:p>
    <w:p w14:paraId="05A4B846" w14:textId="21EE9153" w:rsidR="00EE1D7D" w:rsidRDefault="00000000">
      <w:pPr>
        <w:spacing w:after="200"/>
        <w:rPr>
          <w:rFonts w:ascii="Arial" w:hAnsi="Arial" w:cs="Arial"/>
          <w:sz w:val="22"/>
          <w:szCs w:val="22"/>
        </w:rPr>
      </w:pPr>
      <w:r w:rsidRPr="00D52080">
        <w:rPr>
          <w:rFonts w:ascii="Arial" w:hAnsi="Arial" w:cs="Arial"/>
          <w:b/>
          <w:bCs/>
          <w:sz w:val="22"/>
          <w:szCs w:val="22"/>
        </w:rPr>
        <w:t xml:space="preserve">Willem Stoeller: </w:t>
      </w:r>
      <w:r w:rsidRPr="00D52080">
        <w:rPr>
          <w:rFonts w:ascii="Arial" w:hAnsi="Arial" w:cs="Arial"/>
          <w:sz w:val="22"/>
          <w:szCs w:val="22"/>
        </w:rPr>
        <w:t>Cost tracking using a table for all transactions and using AI for report generation avoids using QBO</w:t>
      </w:r>
      <w:r w:rsidR="0007220F">
        <w:rPr>
          <w:rFonts w:ascii="Arial" w:hAnsi="Arial" w:cs="Arial"/>
          <w:sz w:val="22"/>
          <w:szCs w:val="22"/>
        </w:rPr>
        <w:t xml:space="preserve"> </w:t>
      </w:r>
      <w:r w:rsidR="00C411AF" w:rsidRPr="007D52A3">
        <w:rPr>
          <w:rFonts w:ascii="Arial" w:hAnsi="Arial" w:cs="Arial"/>
          <w:color w:val="215E99" w:themeColor="text2" w:themeTint="BF"/>
          <w:sz w:val="22"/>
          <w:szCs w:val="22"/>
        </w:rPr>
        <w:t>[Quickbooks]</w:t>
      </w:r>
      <w:r w:rsidRPr="007D52A3">
        <w:rPr>
          <w:rFonts w:ascii="Arial" w:hAnsi="Arial" w:cs="Arial"/>
          <w:color w:val="215E99" w:themeColor="text2" w:themeTint="BF"/>
          <w:sz w:val="22"/>
          <w:szCs w:val="22"/>
        </w:rPr>
        <w:t xml:space="preserve"> </w:t>
      </w:r>
      <w:r w:rsidRPr="00D52080">
        <w:rPr>
          <w:rFonts w:ascii="Arial" w:hAnsi="Arial" w:cs="Arial"/>
          <w:sz w:val="22"/>
          <w:szCs w:val="22"/>
        </w:rPr>
        <w:t>for small groups</w:t>
      </w:r>
    </w:p>
    <w:p w14:paraId="0F69CA81" w14:textId="6D88FE7A" w:rsidR="00271344" w:rsidRPr="007D52A3" w:rsidRDefault="00271344">
      <w:pPr>
        <w:spacing w:after="200"/>
        <w:rPr>
          <w:rFonts w:ascii="Arial" w:hAnsi="Arial" w:cs="Arial"/>
          <w:color w:val="215E99" w:themeColor="text2" w:themeTint="BF"/>
          <w:sz w:val="22"/>
          <w:szCs w:val="22"/>
        </w:rPr>
      </w:pPr>
      <w:r w:rsidRPr="007D52A3">
        <w:rPr>
          <w:rFonts w:ascii="Arial" w:hAnsi="Arial" w:cs="Arial"/>
          <w:color w:val="215E99" w:themeColor="text2" w:themeTint="BF"/>
          <w:sz w:val="22"/>
          <w:szCs w:val="22"/>
        </w:rPr>
        <w:t>Claude, Co-Pilot, and Gemini are all AI tool options…</w:t>
      </w:r>
    </w:p>
    <w:p w14:paraId="3965F3A6" w14:textId="77777777" w:rsidR="00EE1D7D" w:rsidRPr="00D52080" w:rsidRDefault="00000000">
      <w:pPr>
        <w:spacing w:after="80"/>
        <w:rPr>
          <w:rFonts w:ascii="Arial" w:hAnsi="Arial" w:cs="Arial"/>
          <w:sz w:val="22"/>
          <w:szCs w:val="22"/>
        </w:rPr>
      </w:pPr>
      <w:r w:rsidRPr="00D52080">
        <w:rPr>
          <w:rFonts w:ascii="Arial" w:hAnsi="Arial" w:cs="Arial"/>
          <w:b/>
          <w:bCs/>
          <w:sz w:val="22"/>
          <w:szCs w:val="22"/>
        </w:rPr>
        <w:t xml:space="preserve">Friends of Nevada Wilderness: </w:t>
      </w:r>
      <w:r w:rsidRPr="00D52080">
        <w:rPr>
          <w:rFonts w:ascii="Arial" w:hAnsi="Arial" w:cs="Arial"/>
          <w:sz w:val="22"/>
          <w:szCs w:val="22"/>
        </w:rPr>
        <w:t>Will all grants have to have Political Appointee approval regardless of size?</w:t>
      </w:r>
    </w:p>
    <w:p w14:paraId="17410950" w14:textId="5865D40C" w:rsidR="00EE1D7D" w:rsidRPr="007D52A3" w:rsidRDefault="00000000">
      <w:pPr>
        <w:spacing w:after="200"/>
        <w:ind w:left="360"/>
        <w:rPr>
          <w:rFonts w:ascii="Arial" w:hAnsi="Arial" w:cs="Arial"/>
          <w:color w:val="215E99" w:themeColor="text2" w:themeTint="BF"/>
          <w:sz w:val="22"/>
          <w:szCs w:val="22"/>
        </w:rPr>
      </w:pPr>
      <w:r w:rsidRPr="007D52A3">
        <w:rPr>
          <w:rFonts w:ascii="Arial" w:hAnsi="Arial" w:cs="Arial"/>
          <w:b/>
          <w:bCs/>
          <w:color w:val="215E99" w:themeColor="text2" w:themeTint="BF"/>
          <w:sz w:val="22"/>
          <w:szCs w:val="22"/>
        </w:rPr>
        <w:t xml:space="preserve">Answer: </w:t>
      </w:r>
      <w:r w:rsidRPr="007D52A3">
        <w:rPr>
          <w:rFonts w:ascii="Arial" w:hAnsi="Arial" w:cs="Arial"/>
          <w:color w:val="215E99" w:themeColor="text2" w:themeTint="BF"/>
          <w:sz w:val="22"/>
          <w:szCs w:val="22"/>
        </w:rPr>
        <w:t xml:space="preserve">As proposed, the mandatory pre-issuance political review applies to </w:t>
      </w:r>
      <w:r w:rsidRPr="007106E6">
        <w:rPr>
          <w:rFonts w:ascii="Arial" w:hAnsi="Arial" w:cs="Arial"/>
          <w:b/>
          <w:bCs/>
          <w:color w:val="215E99" w:themeColor="text2" w:themeTint="BF"/>
          <w:sz w:val="22"/>
          <w:szCs w:val="22"/>
        </w:rPr>
        <w:t>discretionary awards</w:t>
      </w:r>
      <w:r w:rsidR="007106E6">
        <w:rPr>
          <w:rFonts w:ascii="Arial" w:hAnsi="Arial" w:cs="Arial"/>
          <w:b/>
          <w:bCs/>
          <w:color w:val="215E99" w:themeColor="text2" w:themeTint="BF"/>
          <w:sz w:val="22"/>
          <w:szCs w:val="22"/>
        </w:rPr>
        <w:t xml:space="preserve"> (so any funding that is awarded through a competitive process such as Request for Proposals/Notice of Funding Opportunity)</w:t>
      </w:r>
      <w:r w:rsidR="00FA2925">
        <w:rPr>
          <w:rFonts w:ascii="Arial" w:hAnsi="Arial" w:cs="Arial"/>
          <w:color w:val="215E99" w:themeColor="text2" w:themeTint="BF"/>
          <w:sz w:val="22"/>
          <w:szCs w:val="22"/>
        </w:rPr>
        <w:t>; in other words, all grants we would apply for.</w:t>
      </w:r>
      <w:r w:rsidRPr="007D52A3">
        <w:rPr>
          <w:rFonts w:ascii="Arial" w:hAnsi="Arial" w:cs="Arial"/>
          <w:color w:val="215E99" w:themeColor="text2" w:themeTint="BF"/>
          <w:sz w:val="22"/>
          <w:szCs w:val="22"/>
        </w:rPr>
        <w:t xml:space="preserve"> Mandatory or formula-funded awards are described as largely outside this expanded review. Check whether your specific award type is classified as discretionary. </w:t>
      </w:r>
    </w:p>
    <w:p w14:paraId="350F0C05" w14:textId="77777777" w:rsidR="00EE1D7D" w:rsidRPr="00D52080" w:rsidRDefault="00000000">
      <w:pPr>
        <w:spacing w:after="80"/>
        <w:rPr>
          <w:rFonts w:ascii="Arial" w:hAnsi="Arial" w:cs="Arial"/>
          <w:sz w:val="22"/>
          <w:szCs w:val="22"/>
        </w:rPr>
      </w:pPr>
      <w:r w:rsidRPr="00D52080">
        <w:rPr>
          <w:rFonts w:ascii="Arial" w:hAnsi="Arial" w:cs="Arial"/>
          <w:b/>
          <w:bCs/>
          <w:sz w:val="22"/>
          <w:szCs w:val="22"/>
        </w:rPr>
        <w:t xml:space="preserve">Ann Mayo-Kiely: </w:t>
      </w:r>
      <w:r w:rsidRPr="00D52080">
        <w:rPr>
          <w:rFonts w:ascii="Arial" w:hAnsi="Arial" w:cs="Arial"/>
          <w:sz w:val="22"/>
          <w:szCs w:val="22"/>
        </w:rPr>
        <w:t>We work with international partners</w:t>
      </w:r>
    </w:p>
    <w:p w14:paraId="1D4CDA02" w14:textId="66015E61" w:rsidR="00EE1D7D" w:rsidRPr="007D52A3" w:rsidRDefault="00000000">
      <w:pPr>
        <w:spacing w:after="200"/>
        <w:ind w:left="360"/>
        <w:rPr>
          <w:rFonts w:ascii="Arial" w:hAnsi="Arial" w:cs="Arial"/>
          <w:color w:val="215E99" w:themeColor="text2" w:themeTint="BF"/>
          <w:sz w:val="22"/>
          <w:szCs w:val="22"/>
        </w:rPr>
      </w:pPr>
      <w:r w:rsidRPr="007D52A3">
        <w:rPr>
          <w:rFonts w:ascii="Arial" w:hAnsi="Arial" w:cs="Arial"/>
          <w:b/>
          <w:bCs/>
          <w:color w:val="215E99" w:themeColor="text2" w:themeTint="BF"/>
          <w:sz w:val="22"/>
          <w:szCs w:val="22"/>
        </w:rPr>
        <w:t xml:space="preserve">Answer: </w:t>
      </w:r>
      <w:r w:rsidRPr="007D52A3">
        <w:rPr>
          <w:rFonts w:ascii="Arial" w:hAnsi="Arial" w:cs="Arial"/>
          <w:color w:val="215E99" w:themeColor="text2" w:themeTint="BF"/>
          <w:sz w:val="22"/>
          <w:szCs w:val="22"/>
        </w:rPr>
        <w:t xml:space="preserve">The proposed rule adds a "domestic-first" framework (2 CFR 200.202(e)) restricting international program elements unless a federal agency determines they are justified, consistent with program objectives, and in the national interest, or a senior political appointee approves an exception. A separate provision (200.220) would also bar federal funds for collaboration with "covered foreign countries" or entities. </w:t>
      </w:r>
    </w:p>
    <w:p w14:paraId="4577D420" w14:textId="092B9456" w:rsidR="00EE1D7D" w:rsidRPr="00D52080" w:rsidRDefault="00000000">
      <w:pPr>
        <w:spacing w:after="200"/>
        <w:rPr>
          <w:rFonts w:ascii="Arial" w:hAnsi="Arial" w:cs="Arial"/>
          <w:sz w:val="22"/>
          <w:szCs w:val="22"/>
        </w:rPr>
      </w:pPr>
      <w:r w:rsidRPr="00D52080">
        <w:rPr>
          <w:rFonts w:ascii="Arial" w:hAnsi="Arial" w:cs="Arial"/>
          <w:b/>
          <w:bCs/>
          <w:sz w:val="22"/>
          <w:szCs w:val="22"/>
        </w:rPr>
        <w:t xml:space="preserve">Desiree Sorenson-Groves: </w:t>
      </w:r>
      <w:r w:rsidRPr="00D52080">
        <w:rPr>
          <w:rFonts w:ascii="Arial" w:hAnsi="Arial" w:cs="Arial"/>
          <w:sz w:val="22"/>
          <w:szCs w:val="22"/>
        </w:rPr>
        <w:t>But here are a couple assets from the National Council of Nonprofits. The first is an overview of the proposed rule and the second is a sign-on letter:</w:t>
      </w:r>
      <w:r w:rsidR="00B77126">
        <w:rPr>
          <w:rFonts w:ascii="Arial" w:hAnsi="Arial" w:cs="Arial"/>
          <w:sz w:val="22"/>
          <w:szCs w:val="22"/>
        </w:rPr>
        <w:br/>
      </w:r>
      <w:r w:rsidR="009E708E">
        <w:rPr>
          <w:rFonts w:ascii="Arial" w:hAnsi="Arial" w:cs="Arial"/>
          <w:sz w:val="22"/>
          <w:szCs w:val="22"/>
        </w:rPr>
        <w:br/>
      </w:r>
      <w:r w:rsidRPr="00D52080">
        <w:rPr>
          <w:rFonts w:ascii="Arial" w:hAnsi="Arial" w:cs="Arial"/>
          <w:sz w:val="22"/>
          <w:szCs w:val="22"/>
        </w:rPr>
        <w:lastRenderedPageBreak/>
        <w:t>https://www.councilofnonprofits.org/articles/65kcomments-submitted-proposed-changes-federal-grantmaking-take-action-july-13 and https://www.councilofnonprofits.org/form/national-letter-to-protect-and-s</w:t>
      </w:r>
    </w:p>
    <w:p w14:paraId="274E8CA9" w14:textId="77777777" w:rsidR="00EE1D7D" w:rsidRPr="00D52080" w:rsidRDefault="00000000">
      <w:pPr>
        <w:spacing w:after="80"/>
        <w:rPr>
          <w:rFonts w:ascii="Arial" w:hAnsi="Arial" w:cs="Arial"/>
          <w:sz w:val="22"/>
          <w:szCs w:val="22"/>
        </w:rPr>
      </w:pPr>
      <w:r w:rsidRPr="00D52080">
        <w:rPr>
          <w:rFonts w:ascii="Arial" w:hAnsi="Arial" w:cs="Arial"/>
          <w:b/>
          <w:bCs/>
          <w:sz w:val="22"/>
          <w:szCs w:val="22"/>
        </w:rPr>
        <w:t xml:space="preserve">Abby Ershow: </w:t>
      </w:r>
      <w:r w:rsidRPr="00D52080">
        <w:rPr>
          <w:rFonts w:ascii="Arial" w:hAnsi="Arial" w:cs="Arial"/>
          <w:sz w:val="22"/>
          <w:szCs w:val="22"/>
        </w:rPr>
        <w:t>The FWS Retirees Association sometimes makes very small grant awards (in hundreds of dollars) - they receive some of their funds from DOI. Would this affect the FWSRA grants?</w:t>
      </w:r>
    </w:p>
    <w:p w14:paraId="0B76EB91" w14:textId="346ACAAD" w:rsidR="00EE1D7D" w:rsidRPr="007D52A3" w:rsidRDefault="00000000">
      <w:pPr>
        <w:spacing w:after="200"/>
        <w:ind w:left="360"/>
        <w:rPr>
          <w:rFonts w:ascii="Arial" w:hAnsi="Arial" w:cs="Arial"/>
          <w:color w:val="215E99" w:themeColor="text2" w:themeTint="BF"/>
          <w:sz w:val="22"/>
          <w:szCs w:val="22"/>
        </w:rPr>
      </w:pPr>
      <w:r w:rsidRPr="007D52A3">
        <w:rPr>
          <w:rFonts w:ascii="Arial" w:hAnsi="Arial" w:cs="Arial"/>
          <w:b/>
          <w:bCs/>
          <w:color w:val="215E99" w:themeColor="text2" w:themeTint="BF"/>
          <w:sz w:val="22"/>
          <w:szCs w:val="22"/>
        </w:rPr>
        <w:t xml:space="preserve">Answer: </w:t>
      </w:r>
      <w:r w:rsidRPr="007D52A3">
        <w:rPr>
          <w:rFonts w:ascii="Arial" w:hAnsi="Arial" w:cs="Arial"/>
          <w:color w:val="215E99" w:themeColor="text2" w:themeTint="BF"/>
          <w:sz w:val="22"/>
          <w:szCs w:val="22"/>
        </w:rPr>
        <w:t xml:space="preserve">As a general matter, the proposed rule's new requirements (E-Verify, pre-issuance review, DEI restrictions, etc.) apply to "recipients and subrecipients of Federal financial assistance" under 2 CFR 200. If FWSRA's DOI funding flows through a grant or cooperative agreement covered by 2 CFR 200, it would likely be </w:t>
      </w:r>
      <w:r w:rsidR="009E708E">
        <w:rPr>
          <w:rFonts w:ascii="Arial" w:hAnsi="Arial" w:cs="Arial"/>
          <w:color w:val="215E99" w:themeColor="text2" w:themeTint="BF"/>
          <w:sz w:val="22"/>
          <w:szCs w:val="22"/>
        </w:rPr>
        <w:t>subject to the new rules</w:t>
      </w:r>
      <w:r w:rsidRPr="007D52A3">
        <w:rPr>
          <w:rFonts w:ascii="Arial" w:hAnsi="Arial" w:cs="Arial"/>
          <w:color w:val="215E99" w:themeColor="text2" w:themeTint="BF"/>
          <w:sz w:val="22"/>
          <w:szCs w:val="22"/>
        </w:rPr>
        <w:t>. Recommend confirming directly with DOI or the pass-through entity how FWSRA's specific funding mechanism is classified.</w:t>
      </w:r>
    </w:p>
    <w:p w14:paraId="611F398D" w14:textId="77777777" w:rsidR="00EE1D7D" w:rsidRPr="00D52080" w:rsidRDefault="00000000">
      <w:pPr>
        <w:spacing w:after="80"/>
        <w:rPr>
          <w:rFonts w:ascii="Arial" w:hAnsi="Arial" w:cs="Arial"/>
          <w:sz w:val="22"/>
          <w:szCs w:val="22"/>
        </w:rPr>
      </w:pPr>
      <w:r w:rsidRPr="00D52080">
        <w:rPr>
          <w:rFonts w:ascii="Arial" w:hAnsi="Arial" w:cs="Arial"/>
          <w:b/>
          <w:bCs/>
          <w:sz w:val="22"/>
          <w:szCs w:val="22"/>
        </w:rPr>
        <w:t xml:space="preserve">Nora Richter - Friends of Nevada Wilderness: </w:t>
      </w:r>
      <w:r w:rsidRPr="00D52080">
        <w:rPr>
          <w:rFonts w:ascii="Arial" w:hAnsi="Arial" w:cs="Arial"/>
          <w:sz w:val="22"/>
          <w:szCs w:val="22"/>
        </w:rPr>
        <w:t>Will volunteers need to be registered with E-Verify?</w:t>
      </w:r>
    </w:p>
    <w:p w14:paraId="05EFB66F" w14:textId="251904A4" w:rsidR="00EE1D7D" w:rsidRPr="007D52A3" w:rsidRDefault="00000000">
      <w:pPr>
        <w:spacing w:after="200"/>
        <w:ind w:left="360"/>
        <w:rPr>
          <w:rFonts w:ascii="Arial" w:hAnsi="Arial" w:cs="Arial"/>
          <w:color w:val="215E99" w:themeColor="text2" w:themeTint="BF"/>
          <w:sz w:val="22"/>
          <w:szCs w:val="22"/>
        </w:rPr>
      </w:pPr>
      <w:r w:rsidRPr="007D52A3">
        <w:rPr>
          <w:rFonts w:ascii="Arial" w:hAnsi="Arial" w:cs="Arial"/>
          <w:b/>
          <w:bCs/>
          <w:color w:val="215E99" w:themeColor="text2" w:themeTint="BF"/>
          <w:sz w:val="22"/>
          <w:szCs w:val="22"/>
        </w:rPr>
        <w:t xml:space="preserve">Answer: </w:t>
      </w:r>
      <w:r w:rsidR="009E708E">
        <w:rPr>
          <w:rFonts w:ascii="Arial" w:hAnsi="Arial" w:cs="Arial"/>
          <w:color w:val="215E99" w:themeColor="text2" w:themeTint="BF"/>
          <w:sz w:val="22"/>
          <w:szCs w:val="22"/>
        </w:rPr>
        <w:t>B</w:t>
      </w:r>
      <w:r w:rsidRPr="007D52A3">
        <w:rPr>
          <w:rFonts w:ascii="Arial" w:hAnsi="Arial" w:cs="Arial"/>
          <w:color w:val="215E99" w:themeColor="text2" w:themeTint="BF"/>
          <w:sz w:val="22"/>
          <w:szCs w:val="22"/>
        </w:rPr>
        <w:t>ased on the current proposed text. 2 CFR 200.303(f) as proposed refers specifically to "employees and contractors" performing under a federal award. It does not explicitly mention unpaid volunteers, and E-Verify itself is designed to confirm employment eligibility, which does not typically apply where there is no employment relationship. OMB has not directly clarified this point, and it could be addressed differently in the final rule.</w:t>
      </w:r>
    </w:p>
    <w:p w14:paraId="58367C7E" w14:textId="77777777" w:rsidR="00EE1D7D" w:rsidRPr="00D52080" w:rsidRDefault="00000000">
      <w:pPr>
        <w:spacing w:after="80"/>
        <w:rPr>
          <w:rFonts w:ascii="Arial" w:hAnsi="Arial" w:cs="Arial"/>
          <w:sz w:val="22"/>
          <w:szCs w:val="22"/>
        </w:rPr>
      </w:pPr>
      <w:r w:rsidRPr="00D52080">
        <w:rPr>
          <w:rFonts w:ascii="Arial" w:hAnsi="Arial" w:cs="Arial"/>
          <w:b/>
          <w:bCs/>
          <w:sz w:val="22"/>
          <w:szCs w:val="22"/>
        </w:rPr>
        <w:t xml:space="preserve">Abby Ershow: </w:t>
      </w:r>
      <w:r w:rsidRPr="00D52080">
        <w:rPr>
          <w:rFonts w:ascii="Arial" w:hAnsi="Arial" w:cs="Arial"/>
          <w:sz w:val="22"/>
          <w:szCs w:val="22"/>
        </w:rPr>
        <w:t>Does E-Verify apply to Friends board volunteers? (who are not employees)</w:t>
      </w:r>
    </w:p>
    <w:p w14:paraId="3D52C225" w14:textId="0D6F34ED" w:rsidR="00EE1D7D" w:rsidRPr="007D52A3" w:rsidRDefault="00000000">
      <w:pPr>
        <w:spacing w:after="200"/>
        <w:ind w:left="360"/>
        <w:rPr>
          <w:rFonts w:ascii="Arial" w:hAnsi="Arial" w:cs="Arial"/>
          <w:color w:val="215E99" w:themeColor="text2" w:themeTint="BF"/>
          <w:sz w:val="22"/>
          <w:szCs w:val="22"/>
        </w:rPr>
      </w:pPr>
      <w:r w:rsidRPr="007D52A3">
        <w:rPr>
          <w:rFonts w:ascii="Arial" w:hAnsi="Arial" w:cs="Arial"/>
          <w:b/>
          <w:bCs/>
          <w:color w:val="215E99" w:themeColor="text2" w:themeTint="BF"/>
          <w:sz w:val="22"/>
          <w:szCs w:val="22"/>
        </w:rPr>
        <w:t xml:space="preserve">Answer: </w:t>
      </w:r>
      <w:r w:rsidR="00801B72">
        <w:rPr>
          <w:rFonts w:ascii="Arial" w:hAnsi="Arial" w:cs="Arial"/>
          <w:color w:val="215E99" w:themeColor="text2" w:themeTint="BF"/>
          <w:sz w:val="22"/>
          <w:szCs w:val="22"/>
        </w:rPr>
        <w:t>A</w:t>
      </w:r>
      <w:r w:rsidRPr="007D52A3">
        <w:rPr>
          <w:rFonts w:ascii="Arial" w:hAnsi="Arial" w:cs="Arial"/>
          <w:color w:val="215E99" w:themeColor="text2" w:themeTint="BF"/>
          <w:sz w:val="22"/>
          <w:szCs w:val="22"/>
        </w:rPr>
        <w:t>s currently drafted, the proposed E-Verify requirement (200.303(f)) is written to cover "employees and contractors," not unpaid volunteers, but this has not been explicitly confirmed by OMB for board volunteers specifically.</w:t>
      </w:r>
    </w:p>
    <w:p w14:paraId="2661EADE" w14:textId="77777777" w:rsidR="00EE1D7D" w:rsidRPr="00D52080" w:rsidRDefault="00000000">
      <w:pPr>
        <w:spacing w:after="80"/>
        <w:rPr>
          <w:rFonts w:ascii="Arial" w:hAnsi="Arial" w:cs="Arial"/>
          <w:sz w:val="22"/>
          <w:szCs w:val="22"/>
        </w:rPr>
      </w:pPr>
      <w:r w:rsidRPr="00D52080">
        <w:rPr>
          <w:rFonts w:ascii="Arial" w:hAnsi="Arial" w:cs="Arial"/>
          <w:b/>
          <w:bCs/>
          <w:sz w:val="22"/>
          <w:szCs w:val="22"/>
        </w:rPr>
        <w:t xml:space="preserve">Abby Ershow: </w:t>
      </w:r>
      <w:r w:rsidRPr="00D52080">
        <w:rPr>
          <w:rFonts w:ascii="Arial" w:hAnsi="Arial" w:cs="Arial"/>
          <w:sz w:val="22"/>
          <w:szCs w:val="22"/>
        </w:rPr>
        <w:t>The "political appointee" can designate staff to handle the work.</w:t>
      </w:r>
    </w:p>
    <w:p w14:paraId="157C06F1" w14:textId="679303DD" w:rsidR="00EE1D7D" w:rsidRPr="007D52A3" w:rsidRDefault="00000000">
      <w:pPr>
        <w:spacing w:after="200"/>
        <w:ind w:left="360"/>
        <w:rPr>
          <w:rFonts w:ascii="Arial" w:hAnsi="Arial" w:cs="Arial"/>
          <w:color w:val="215E99" w:themeColor="text2" w:themeTint="BF"/>
          <w:sz w:val="22"/>
          <w:szCs w:val="22"/>
        </w:rPr>
      </w:pPr>
      <w:r w:rsidRPr="007D52A3">
        <w:rPr>
          <w:rFonts w:ascii="Arial" w:hAnsi="Arial" w:cs="Arial"/>
          <w:b/>
          <w:bCs/>
          <w:color w:val="215E99" w:themeColor="text2" w:themeTint="BF"/>
          <w:sz w:val="22"/>
          <w:szCs w:val="22"/>
        </w:rPr>
        <w:t xml:space="preserve">Answer: </w:t>
      </w:r>
      <w:r w:rsidRPr="007D52A3">
        <w:rPr>
          <w:rFonts w:ascii="Arial" w:hAnsi="Arial" w:cs="Arial"/>
          <w:color w:val="215E99" w:themeColor="text2" w:themeTint="BF"/>
          <w:sz w:val="22"/>
          <w:szCs w:val="22"/>
        </w:rPr>
        <w:t xml:space="preserve">Confirmed. The proposed rule states that federal agency heads "must designate one or more </w:t>
      </w:r>
      <w:r w:rsidRPr="00801B72">
        <w:rPr>
          <w:rFonts w:ascii="Arial" w:hAnsi="Arial" w:cs="Arial"/>
          <w:b/>
          <w:bCs/>
          <w:color w:val="215E99" w:themeColor="text2" w:themeTint="BF"/>
          <w:sz w:val="22"/>
          <w:szCs w:val="22"/>
        </w:rPr>
        <w:t>senior appointees</w:t>
      </w:r>
      <w:r w:rsidRPr="007D52A3">
        <w:rPr>
          <w:rFonts w:ascii="Arial" w:hAnsi="Arial" w:cs="Arial"/>
          <w:color w:val="215E99" w:themeColor="text2" w:themeTint="BF"/>
          <w:sz w:val="22"/>
          <w:szCs w:val="22"/>
        </w:rPr>
        <w:t xml:space="preserve">" to conduct the pre-issuance review, meaning the review can be delegated to designated senior staff rather than performed personally by the top political appointee in every case. </w:t>
      </w:r>
    </w:p>
    <w:p w14:paraId="22BE4B4E" w14:textId="77777777" w:rsidR="00EE1D7D" w:rsidRPr="00D52080" w:rsidRDefault="00000000">
      <w:pPr>
        <w:spacing w:after="80"/>
        <w:rPr>
          <w:rFonts w:ascii="Arial" w:hAnsi="Arial" w:cs="Arial"/>
          <w:sz w:val="22"/>
          <w:szCs w:val="22"/>
        </w:rPr>
      </w:pPr>
      <w:r w:rsidRPr="00D52080">
        <w:rPr>
          <w:rFonts w:ascii="Arial" w:hAnsi="Arial" w:cs="Arial"/>
          <w:b/>
          <w:bCs/>
          <w:sz w:val="22"/>
          <w:szCs w:val="22"/>
        </w:rPr>
        <w:t xml:space="preserve">Ann Mayo-Kiely: </w:t>
      </w:r>
      <w:r w:rsidRPr="00D52080">
        <w:rPr>
          <w:rFonts w:ascii="Arial" w:hAnsi="Arial" w:cs="Arial"/>
          <w:sz w:val="22"/>
          <w:szCs w:val="22"/>
        </w:rPr>
        <w:t>(Reply to Congressional awards question) Supposedly OMB will respect earmarks: https://www.politico.com/live-updates/2026/06/30/congress/vought-vows-to-honor-earmarks-00981681</w:t>
      </w:r>
    </w:p>
    <w:p w14:paraId="795BB0E5" w14:textId="71021D2D" w:rsidR="00EE1D7D" w:rsidRPr="007D52A3" w:rsidRDefault="00000000">
      <w:pPr>
        <w:spacing w:after="200"/>
        <w:ind w:left="360"/>
        <w:rPr>
          <w:rFonts w:ascii="Arial" w:hAnsi="Arial" w:cs="Arial"/>
          <w:color w:val="215E99" w:themeColor="text2" w:themeTint="BF"/>
          <w:sz w:val="22"/>
          <w:szCs w:val="22"/>
        </w:rPr>
      </w:pPr>
      <w:r w:rsidRPr="007D52A3">
        <w:rPr>
          <w:rFonts w:ascii="Arial" w:hAnsi="Arial" w:cs="Arial"/>
          <w:b/>
          <w:bCs/>
          <w:color w:val="215E99" w:themeColor="text2" w:themeTint="BF"/>
          <w:sz w:val="22"/>
          <w:szCs w:val="22"/>
        </w:rPr>
        <w:t xml:space="preserve">Answer: </w:t>
      </w:r>
      <w:r w:rsidRPr="007D52A3">
        <w:rPr>
          <w:rFonts w:ascii="Arial" w:hAnsi="Arial" w:cs="Arial"/>
          <w:color w:val="215E99" w:themeColor="text2" w:themeTint="BF"/>
          <w:sz w:val="22"/>
          <w:szCs w:val="22"/>
        </w:rPr>
        <w:t>Confirmed</w:t>
      </w:r>
      <w:r w:rsidR="00617C93">
        <w:rPr>
          <w:rFonts w:ascii="Arial" w:hAnsi="Arial" w:cs="Arial"/>
          <w:color w:val="215E99" w:themeColor="text2" w:themeTint="BF"/>
          <w:sz w:val="22"/>
          <w:szCs w:val="22"/>
        </w:rPr>
        <w:t xml:space="preserve">. </w:t>
      </w:r>
      <w:r w:rsidRPr="007D52A3">
        <w:rPr>
          <w:rFonts w:ascii="Arial" w:hAnsi="Arial" w:cs="Arial"/>
          <w:color w:val="215E99" w:themeColor="text2" w:themeTint="BF"/>
          <w:sz w:val="22"/>
          <w:szCs w:val="22"/>
        </w:rPr>
        <w:t>OMB Director Russ Vought indicated the administration intends to honor congressional earmarks. This is a political commitment, not a binding rule provision, so it is worth monitoring rather than relying on as a guarantee.</w:t>
      </w:r>
    </w:p>
    <w:p w14:paraId="4D9E3EEC" w14:textId="77777777" w:rsidR="00EE1D7D" w:rsidRPr="00D52080" w:rsidRDefault="00000000">
      <w:pPr>
        <w:spacing w:after="80"/>
        <w:rPr>
          <w:rFonts w:ascii="Arial" w:hAnsi="Arial" w:cs="Arial"/>
          <w:sz w:val="22"/>
          <w:szCs w:val="22"/>
        </w:rPr>
      </w:pPr>
      <w:r w:rsidRPr="00D52080">
        <w:rPr>
          <w:rFonts w:ascii="Arial" w:hAnsi="Arial" w:cs="Arial"/>
          <w:b/>
          <w:bCs/>
          <w:sz w:val="22"/>
          <w:szCs w:val="22"/>
        </w:rPr>
        <w:t xml:space="preserve">Darcy Shepard - Friends of NV Wilderness: </w:t>
      </w:r>
      <w:r w:rsidRPr="00D52080">
        <w:rPr>
          <w:rFonts w:ascii="Arial" w:hAnsi="Arial" w:cs="Arial"/>
          <w:sz w:val="22"/>
          <w:szCs w:val="22"/>
        </w:rPr>
        <w:t>Would contractors that are used as a match require E-Verify as well?</w:t>
      </w:r>
    </w:p>
    <w:p w14:paraId="4AE0B5C8" w14:textId="77777777" w:rsidR="00EE1D7D" w:rsidRPr="007D52A3" w:rsidRDefault="00000000">
      <w:pPr>
        <w:spacing w:after="200"/>
        <w:ind w:left="360"/>
        <w:rPr>
          <w:rFonts w:ascii="Arial" w:hAnsi="Arial" w:cs="Arial"/>
          <w:color w:val="215E99" w:themeColor="text2" w:themeTint="BF"/>
          <w:sz w:val="22"/>
          <w:szCs w:val="22"/>
        </w:rPr>
      </w:pPr>
      <w:r w:rsidRPr="007D52A3">
        <w:rPr>
          <w:rFonts w:ascii="Arial" w:hAnsi="Arial" w:cs="Arial"/>
          <w:b/>
          <w:bCs/>
          <w:color w:val="215E99" w:themeColor="text2" w:themeTint="BF"/>
          <w:sz w:val="22"/>
          <w:szCs w:val="22"/>
        </w:rPr>
        <w:t xml:space="preserve">Answer: </w:t>
      </w:r>
      <w:r w:rsidRPr="007D52A3">
        <w:rPr>
          <w:rFonts w:ascii="Arial" w:hAnsi="Arial" w:cs="Arial"/>
          <w:color w:val="215E99" w:themeColor="text2" w:themeTint="BF"/>
          <w:sz w:val="22"/>
          <w:szCs w:val="22"/>
        </w:rPr>
        <w:t>Not explicitly addressed in current summaries of the proposed rule. Since matching/cost-sharing contributions are treated as part of the recipient's contribution to a federally assisted program and must meet the same allowability standards as federal funds (2 CFR 200.306(b)), it is reasonable to expect E-Verify, if finalized, would extend to contractors performing under the matched portion of a project as well, but OMB has not explicitly confirmed this.</w:t>
      </w:r>
    </w:p>
    <w:p w14:paraId="29AA8F87" w14:textId="77777777" w:rsidR="00EE1D7D" w:rsidRPr="00D52080" w:rsidRDefault="00000000">
      <w:pPr>
        <w:spacing w:after="80"/>
        <w:rPr>
          <w:rFonts w:ascii="Arial" w:hAnsi="Arial" w:cs="Arial"/>
          <w:sz w:val="22"/>
          <w:szCs w:val="22"/>
        </w:rPr>
      </w:pPr>
      <w:r w:rsidRPr="00D52080">
        <w:rPr>
          <w:rFonts w:ascii="Arial" w:hAnsi="Arial" w:cs="Arial"/>
          <w:b/>
          <w:bCs/>
          <w:sz w:val="22"/>
          <w:szCs w:val="22"/>
        </w:rPr>
        <w:lastRenderedPageBreak/>
        <w:t xml:space="preserve">Bonnie Anderon: </w:t>
      </w:r>
      <w:r w:rsidRPr="00D52080">
        <w:rPr>
          <w:rFonts w:ascii="Arial" w:hAnsi="Arial" w:cs="Arial"/>
          <w:sz w:val="22"/>
          <w:szCs w:val="22"/>
        </w:rPr>
        <w:t>If we have a match on the grant, do those matching funds have to follow these same guidelines?</w:t>
      </w:r>
    </w:p>
    <w:p w14:paraId="0F50E7AB" w14:textId="59345650" w:rsidR="00EE1D7D" w:rsidRPr="007D52A3" w:rsidRDefault="00000000">
      <w:pPr>
        <w:spacing w:after="200"/>
        <w:ind w:left="360"/>
        <w:rPr>
          <w:rFonts w:ascii="Arial" w:hAnsi="Arial" w:cs="Arial"/>
          <w:color w:val="215E99" w:themeColor="text2" w:themeTint="BF"/>
          <w:sz w:val="22"/>
          <w:szCs w:val="22"/>
        </w:rPr>
      </w:pPr>
      <w:r w:rsidRPr="007D52A3">
        <w:rPr>
          <w:rFonts w:ascii="Arial" w:hAnsi="Arial" w:cs="Arial"/>
          <w:b/>
          <w:bCs/>
          <w:color w:val="215E99" w:themeColor="text2" w:themeTint="BF"/>
          <w:sz w:val="22"/>
          <w:szCs w:val="22"/>
        </w:rPr>
        <w:t xml:space="preserve">Answer: </w:t>
      </w:r>
      <w:r w:rsidR="00B77126" w:rsidRPr="007D52A3">
        <w:rPr>
          <w:rFonts w:ascii="Arial" w:hAnsi="Arial" w:cs="Arial"/>
          <w:color w:val="215E99" w:themeColor="text2" w:themeTint="BF"/>
          <w:sz w:val="22"/>
          <w:szCs w:val="22"/>
        </w:rPr>
        <w:t>Generally,</w:t>
      </w:r>
      <w:r w:rsidRPr="007D52A3">
        <w:rPr>
          <w:rFonts w:ascii="Arial" w:hAnsi="Arial" w:cs="Arial"/>
          <w:color w:val="215E99" w:themeColor="text2" w:themeTint="BF"/>
          <w:sz w:val="22"/>
          <w:szCs w:val="22"/>
        </w:rPr>
        <w:t xml:space="preserve"> yes. Under 2 CFR 200.306(b), cost sharing/matching contributions must be verifiable, necessary and reasonable, not counted toward any other federal award, and must otherwise conform to the Uniform Guidance, including the cost principles in Subpart E (2 CFR 200.400). </w:t>
      </w:r>
    </w:p>
    <w:p w14:paraId="2DD43263" w14:textId="77777777" w:rsidR="00EE1D7D" w:rsidRPr="00D52080" w:rsidRDefault="00000000">
      <w:pPr>
        <w:spacing w:after="80"/>
        <w:rPr>
          <w:rFonts w:ascii="Arial" w:hAnsi="Arial" w:cs="Arial"/>
          <w:sz w:val="22"/>
          <w:szCs w:val="22"/>
        </w:rPr>
      </w:pPr>
      <w:r w:rsidRPr="00D52080">
        <w:rPr>
          <w:rFonts w:ascii="Arial" w:hAnsi="Arial" w:cs="Arial"/>
          <w:b/>
          <w:bCs/>
          <w:sz w:val="22"/>
          <w:szCs w:val="22"/>
        </w:rPr>
        <w:t xml:space="preserve">Friends of Nevada Wilderness: </w:t>
      </w:r>
      <w:r w:rsidRPr="00D52080">
        <w:rPr>
          <w:rFonts w:ascii="Arial" w:hAnsi="Arial" w:cs="Arial"/>
          <w:sz w:val="22"/>
          <w:szCs w:val="22"/>
        </w:rPr>
        <w:t>What if the original source of the funds is paid to the federal government through Special Recreation User Fees (i.e. Burning Man), where these funds are to be used in the region for conservation and visitor services?</w:t>
      </w:r>
    </w:p>
    <w:p w14:paraId="409DBA56" w14:textId="77777777" w:rsidR="00EE1D7D" w:rsidRPr="007D52A3" w:rsidRDefault="00000000">
      <w:pPr>
        <w:spacing w:after="200"/>
        <w:ind w:left="360"/>
        <w:rPr>
          <w:rFonts w:ascii="Arial" w:hAnsi="Arial" w:cs="Arial"/>
          <w:color w:val="215E99" w:themeColor="text2" w:themeTint="BF"/>
          <w:sz w:val="22"/>
          <w:szCs w:val="22"/>
        </w:rPr>
      </w:pPr>
      <w:r w:rsidRPr="007D52A3">
        <w:rPr>
          <w:rFonts w:ascii="Arial" w:hAnsi="Arial" w:cs="Arial"/>
          <w:b/>
          <w:bCs/>
          <w:color w:val="215E99" w:themeColor="text2" w:themeTint="BF"/>
          <w:sz w:val="22"/>
          <w:szCs w:val="22"/>
        </w:rPr>
        <w:t xml:space="preserve">Answer: </w:t>
      </w:r>
      <w:r w:rsidRPr="007D52A3">
        <w:rPr>
          <w:rFonts w:ascii="Arial" w:hAnsi="Arial" w:cs="Arial"/>
          <w:color w:val="215E99" w:themeColor="text2" w:themeTint="BF"/>
          <w:sz w:val="22"/>
          <w:szCs w:val="22"/>
        </w:rPr>
        <w:t>No source specifically addressing this scenario was found. This appears to be more a question under the Federal Lands Recreation Enhancement Act (16 U.S.C. 6801 et seq.), which governs Special Recreation User Fees, than under 2 CFR 200 directly. Recommend raising this directly with your FWS regional grants or budget office for a program-specific answer.</w:t>
      </w:r>
    </w:p>
    <w:p w14:paraId="36BDEB8A" w14:textId="77777777" w:rsidR="00EE1D7D" w:rsidRPr="007D52A3" w:rsidRDefault="00000000">
      <w:pPr>
        <w:spacing w:after="80"/>
        <w:rPr>
          <w:rFonts w:ascii="Arial" w:hAnsi="Arial" w:cs="Arial"/>
          <w:color w:val="215E99" w:themeColor="text2" w:themeTint="BF"/>
          <w:sz w:val="22"/>
          <w:szCs w:val="22"/>
        </w:rPr>
      </w:pPr>
      <w:r w:rsidRPr="00D52080">
        <w:rPr>
          <w:rFonts w:ascii="Arial" w:hAnsi="Arial" w:cs="Arial"/>
          <w:b/>
          <w:bCs/>
          <w:sz w:val="22"/>
          <w:szCs w:val="22"/>
        </w:rPr>
        <w:t xml:space="preserve">Ken Copenhaver: </w:t>
      </w:r>
      <w:r w:rsidRPr="00D52080">
        <w:rPr>
          <w:rFonts w:ascii="Arial" w:hAnsi="Arial" w:cs="Arial"/>
          <w:sz w:val="22"/>
          <w:szCs w:val="22"/>
        </w:rPr>
        <w:t>Does E-Verify apply just to individuals, or does a Friends organization itself need E-Verify?</w:t>
      </w:r>
    </w:p>
    <w:p w14:paraId="2F01D78A" w14:textId="5CBD5472" w:rsidR="00EE1D7D" w:rsidRPr="007D52A3" w:rsidRDefault="00000000">
      <w:pPr>
        <w:spacing w:after="200"/>
        <w:ind w:left="360"/>
        <w:rPr>
          <w:rFonts w:ascii="Arial" w:hAnsi="Arial" w:cs="Arial"/>
          <w:color w:val="215E99" w:themeColor="text2" w:themeTint="BF"/>
          <w:sz w:val="22"/>
          <w:szCs w:val="22"/>
        </w:rPr>
      </w:pPr>
      <w:r w:rsidRPr="007D52A3">
        <w:rPr>
          <w:rFonts w:ascii="Arial" w:hAnsi="Arial" w:cs="Arial"/>
          <w:b/>
          <w:bCs/>
          <w:color w:val="215E99" w:themeColor="text2" w:themeTint="BF"/>
          <w:sz w:val="22"/>
          <w:szCs w:val="22"/>
        </w:rPr>
        <w:t xml:space="preserve">Answer: </w:t>
      </w:r>
      <w:r w:rsidRPr="007D52A3">
        <w:rPr>
          <w:rFonts w:ascii="Arial" w:hAnsi="Arial" w:cs="Arial"/>
          <w:color w:val="215E99" w:themeColor="text2" w:themeTint="BF"/>
          <w:sz w:val="22"/>
          <w:szCs w:val="22"/>
        </w:rPr>
        <w:t xml:space="preserve">E-Verify is an employer-level enrollment. Organizations, not individuals, enroll in the E-Verify system and then use it to confirm the employment eligibility of their individual employees. If finalized, a Friends organization receiving or passing through covered federal funds would need to enroll as an organization. </w:t>
      </w:r>
    </w:p>
    <w:p w14:paraId="19F685E7" w14:textId="77777777" w:rsidR="00EE1D7D" w:rsidRPr="00D52080" w:rsidRDefault="00000000">
      <w:pPr>
        <w:spacing w:after="80"/>
        <w:rPr>
          <w:rFonts w:ascii="Arial" w:hAnsi="Arial" w:cs="Arial"/>
          <w:sz w:val="22"/>
          <w:szCs w:val="22"/>
        </w:rPr>
      </w:pPr>
      <w:r w:rsidRPr="00D52080">
        <w:rPr>
          <w:rFonts w:ascii="Arial" w:hAnsi="Arial" w:cs="Arial"/>
          <w:b/>
          <w:bCs/>
          <w:sz w:val="22"/>
          <w:szCs w:val="22"/>
        </w:rPr>
        <w:t xml:space="preserve">Desiree Sorenson-Groves: </w:t>
      </w:r>
      <w:r w:rsidRPr="00D52080">
        <w:rPr>
          <w:rFonts w:ascii="Arial" w:hAnsi="Arial" w:cs="Arial"/>
          <w:sz w:val="22"/>
          <w:szCs w:val="22"/>
        </w:rPr>
        <w:t>Interesting letter to OMB Director from the Chair of the Appropriations Committee in the Senate, Senator Susan Collins: https://www.appropriations.senate.gov/news/majority/sen-collins-asks-omb-to-withdraw-parts-of-grant-rule-extend-comment-period - she gets at the power of the purse and intent of congressional funding approvals</w:t>
      </w:r>
    </w:p>
    <w:p w14:paraId="48E2A80B" w14:textId="77777777" w:rsidR="00EE1D7D" w:rsidRPr="007D52A3" w:rsidRDefault="00000000">
      <w:pPr>
        <w:spacing w:after="200"/>
        <w:ind w:left="360"/>
        <w:rPr>
          <w:rFonts w:ascii="Arial" w:hAnsi="Arial" w:cs="Arial"/>
          <w:color w:val="215E99" w:themeColor="text2" w:themeTint="BF"/>
          <w:sz w:val="22"/>
          <w:szCs w:val="22"/>
        </w:rPr>
      </w:pPr>
      <w:r w:rsidRPr="007D52A3">
        <w:rPr>
          <w:rFonts w:ascii="Arial" w:hAnsi="Arial" w:cs="Arial"/>
          <w:b/>
          <w:bCs/>
          <w:color w:val="215E99" w:themeColor="text2" w:themeTint="BF"/>
          <w:sz w:val="22"/>
          <w:szCs w:val="22"/>
        </w:rPr>
        <w:t xml:space="preserve">Answer: </w:t>
      </w:r>
      <w:r w:rsidRPr="007D52A3">
        <w:rPr>
          <w:rFonts w:ascii="Arial" w:hAnsi="Arial" w:cs="Arial"/>
          <w:color w:val="215E99" w:themeColor="text2" w:themeTint="BF"/>
          <w:sz w:val="22"/>
          <w:szCs w:val="22"/>
        </w:rPr>
        <w:t>Consistent with broader reporting: multiple law firms and advocacy groups tracking this rule expect litigation if it is finalized as proposed, citing precedent from earlier legal challenges to attempted grant terminations and indirect cost caps in 2025. Source: Legal Planet, legal-planet.org/2026/06/15/ombs-new-grant-regulations-a-deeper-dive</w:t>
      </w:r>
    </w:p>
    <w:sectPr w:rsidR="00EE1D7D" w:rsidRPr="007D52A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5605"/>
    <w:multiLevelType w:val="hybridMultilevel"/>
    <w:tmpl w:val="6C569AF6"/>
    <w:lvl w:ilvl="0" w:tplc="67547FE4">
      <w:start w:val="1"/>
      <w:numFmt w:val="bullet"/>
      <w:lvlText w:val="●"/>
      <w:lvlJc w:val="left"/>
      <w:pPr>
        <w:ind w:left="720" w:hanging="360"/>
      </w:pPr>
    </w:lvl>
    <w:lvl w:ilvl="1" w:tplc="DDA8FBA8">
      <w:start w:val="1"/>
      <w:numFmt w:val="bullet"/>
      <w:lvlText w:val="○"/>
      <w:lvlJc w:val="left"/>
      <w:pPr>
        <w:ind w:left="1440" w:hanging="360"/>
      </w:pPr>
    </w:lvl>
    <w:lvl w:ilvl="2" w:tplc="06901BE2">
      <w:start w:val="1"/>
      <w:numFmt w:val="bullet"/>
      <w:lvlText w:val="■"/>
      <w:lvlJc w:val="left"/>
      <w:pPr>
        <w:ind w:left="2160" w:hanging="360"/>
      </w:pPr>
    </w:lvl>
    <w:lvl w:ilvl="3" w:tplc="211EC170">
      <w:start w:val="1"/>
      <w:numFmt w:val="bullet"/>
      <w:lvlText w:val="●"/>
      <w:lvlJc w:val="left"/>
      <w:pPr>
        <w:ind w:left="2880" w:hanging="360"/>
      </w:pPr>
    </w:lvl>
    <w:lvl w:ilvl="4" w:tplc="8C5E6C6A">
      <w:start w:val="1"/>
      <w:numFmt w:val="bullet"/>
      <w:lvlText w:val="○"/>
      <w:lvlJc w:val="left"/>
      <w:pPr>
        <w:ind w:left="3600" w:hanging="360"/>
      </w:pPr>
    </w:lvl>
    <w:lvl w:ilvl="5" w:tplc="A052D78C">
      <w:start w:val="1"/>
      <w:numFmt w:val="bullet"/>
      <w:lvlText w:val="■"/>
      <w:lvlJc w:val="left"/>
      <w:pPr>
        <w:ind w:left="4320" w:hanging="360"/>
      </w:pPr>
    </w:lvl>
    <w:lvl w:ilvl="6" w:tplc="97ECAB50">
      <w:start w:val="1"/>
      <w:numFmt w:val="bullet"/>
      <w:lvlText w:val="●"/>
      <w:lvlJc w:val="left"/>
      <w:pPr>
        <w:ind w:left="5040" w:hanging="360"/>
      </w:pPr>
    </w:lvl>
    <w:lvl w:ilvl="7" w:tplc="BD9447B0">
      <w:start w:val="1"/>
      <w:numFmt w:val="bullet"/>
      <w:lvlText w:val="●"/>
      <w:lvlJc w:val="left"/>
      <w:pPr>
        <w:ind w:left="5760" w:hanging="360"/>
      </w:pPr>
    </w:lvl>
    <w:lvl w:ilvl="8" w:tplc="97200CDC">
      <w:start w:val="1"/>
      <w:numFmt w:val="bullet"/>
      <w:lvlText w:val="●"/>
      <w:lvlJc w:val="left"/>
      <w:pPr>
        <w:ind w:left="6480" w:hanging="360"/>
      </w:pPr>
    </w:lvl>
  </w:abstractNum>
  <w:num w:numId="1" w16cid:durableId="12868901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D7D"/>
    <w:rsid w:val="0007220F"/>
    <w:rsid w:val="000F1AC2"/>
    <w:rsid w:val="00192D04"/>
    <w:rsid w:val="00271344"/>
    <w:rsid w:val="00406E63"/>
    <w:rsid w:val="004149FE"/>
    <w:rsid w:val="0054511F"/>
    <w:rsid w:val="00597734"/>
    <w:rsid w:val="005C0C91"/>
    <w:rsid w:val="005D04AC"/>
    <w:rsid w:val="00617C93"/>
    <w:rsid w:val="00636047"/>
    <w:rsid w:val="007106E6"/>
    <w:rsid w:val="007D52A3"/>
    <w:rsid w:val="00801B72"/>
    <w:rsid w:val="0086416B"/>
    <w:rsid w:val="00972A06"/>
    <w:rsid w:val="009E708E"/>
    <w:rsid w:val="00B77126"/>
    <w:rsid w:val="00BA65CA"/>
    <w:rsid w:val="00C3672F"/>
    <w:rsid w:val="00C411AF"/>
    <w:rsid w:val="00C6276E"/>
    <w:rsid w:val="00CE34BD"/>
    <w:rsid w:val="00D409ED"/>
    <w:rsid w:val="00D52080"/>
    <w:rsid w:val="00EE1D7D"/>
    <w:rsid w:val="00F603CC"/>
    <w:rsid w:val="00FA2925"/>
    <w:rsid w:val="00FD1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16C7"/>
  <w15:docId w15:val="{F9C7E91F-3B22-49F4-B68B-308F3B794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1150</Words>
  <Characters>7004</Characters>
  <Application>Microsoft Office Word</Application>
  <DocSecurity>0</DocSecurity>
  <Lines>113</Lines>
  <Paragraphs>36</Paragraphs>
  <ScaleCrop>false</ScaleCrop>
  <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joan patterson</cp:lastModifiedBy>
  <cp:revision>2</cp:revision>
  <dcterms:created xsi:type="dcterms:W3CDTF">2026-07-10T17:17:00Z</dcterms:created>
  <dcterms:modified xsi:type="dcterms:W3CDTF">2026-07-10T17:17:00Z</dcterms:modified>
</cp:coreProperties>
</file>